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ind w:right="-1120"/>
        <w:spacing w:after="0"/>
        <w:rPr>
          <w:sz w:val="20"/>
          <w:szCs w:val="20"/>
          <w:color w:val="auto"/>
        </w:rPr>
      </w:pPr>
      <w:r>
        <w:rPr>
          <w:rFonts w:ascii="Times New Roman" w:cs="Times New Roman" w:eastAsia="Times New Roman" w:hAnsi="Times New Roman"/>
          <w:sz w:val="25"/>
          <w:szCs w:val="25"/>
          <w:b w:val="1"/>
          <w:bCs w:val="1"/>
          <w:color w:val="auto"/>
        </w:rPr>
        <w:drawing>
          <wp:anchor simplePos="0" relativeHeight="251657728" behindDoc="1" locked="0" layoutInCell="0" allowOverlap="1">
            <wp:simplePos x="0" y="0"/>
            <wp:positionH relativeFrom="page">
              <wp:posOffset>208280</wp:posOffset>
            </wp:positionH>
            <wp:positionV relativeFrom="page">
              <wp:posOffset>226060</wp:posOffset>
            </wp:positionV>
            <wp:extent cx="7132320" cy="260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7132320" cy="26035"/>
                    </a:xfrm>
                    <a:prstGeom prst="rect">
                      <a:avLst/>
                    </a:prstGeom>
                    <a:noFill/>
                  </pic:spPr>
                </pic:pic>
              </a:graphicData>
            </a:graphic>
          </wp:anchor>
        </w:drawing>
        <w:drawing>
          <wp:anchor simplePos="0" relativeHeight="251657728" behindDoc="1" locked="0" layoutInCell="0" allowOverlap="1">
            <wp:simplePos x="0" y="0"/>
            <wp:positionH relativeFrom="page">
              <wp:posOffset>208280</wp:posOffset>
            </wp:positionH>
            <wp:positionV relativeFrom="page">
              <wp:posOffset>260350</wp:posOffset>
            </wp:positionV>
            <wp:extent cx="7132320" cy="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7132320" cy="8255"/>
                    </a:xfrm>
                    <a:prstGeom prst="rect">
                      <a:avLst/>
                    </a:prstGeom>
                    <a:noFill/>
                  </pic:spPr>
                </pic:pic>
              </a:graphicData>
            </a:graphic>
          </wp:anchor>
        </w:drawing>
        <w:t>UNITED STATES</w:t>
      </w:r>
    </w:p>
    <w:p>
      <w:pPr>
        <w:spacing w:after="0" w:line="44" w:lineRule="exact"/>
        <w:rPr>
          <w:sz w:val="24"/>
          <w:szCs w:val="24"/>
          <w:color w:val="auto"/>
        </w:rPr>
      </w:pPr>
    </w:p>
    <w:p>
      <w:pPr>
        <w:jc w:val="center"/>
        <w:ind w:right="-1120"/>
        <w:spacing w:after="0"/>
        <w:rPr>
          <w:sz w:val="20"/>
          <w:szCs w:val="20"/>
          <w:color w:val="auto"/>
        </w:rPr>
      </w:pPr>
      <w:r>
        <w:rPr>
          <w:rFonts w:ascii="Times New Roman" w:cs="Times New Roman" w:eastAsia="Times New Roman" w:hAnsi="Times New Roman"/>
          <w:sz w:val="25"/>
          <w:szCs w:val="25"/>
          <w:b w:val="1"/>
          <w:bCs w:val="1"/>
          <w:color w:val="auto"/>
        </w:rPr>
        <w:t>SECURITIES AND EXCHANGE COMMISSION</w:t>
      </w:r>
    </w:p>
    <w:p>
      <w:pPr>
        <w:spacing w:after="0" w:line="10" w:lineRule="exact"/>
        <w:rPr>
          <w:sz w:val="24"/>
          <w:szCs w:val="24"/>
          <w:color w:val="auto"/>
        </w:rPr>
      </w:pPr>
    </w:p>
    <w:p>
      <w:pPr>
        <w:jc w:val="center"/>
        <w:ind w:right="-1120"/>
        <w:spacing w:after="0"/>
        <w:rPr>
          <w:sz w:val="20"/>
          <w:szCs w:val="20"/>
          <w:color w:val="auto"/>
        </w:rPr>
      </w:pPr>
      <w:r>
        <w:rPr>
          <w:rFonts w:ascii="Times New Roman" w:cs="Times New Roman" w:eastAsia="Times New Roman" w:hAnsi="Times New Roman"/>
          <w:sz w:val="25"/>
          <w:szCs w:val="25"/>
          <w:b w:val="1"/>
          <w:bCs w:val="1"/>
          <w:color w:val="auto"/>
        </w:rPr>
        <w:t>Washington, D.C. 20549</w:t>
      </w:r>
    </w:p>
    <w:p>
      <w:pPr>
        <w:spacing w:after="0" w:line="192" w:lineRule="exact"/>
        <w:rPr>
          <w:sz w:val="24"/>
          <w:szCs w:val="24"/>
          <w:color w:val="auto"/>
        </w:rPr>
      </w:pPr>
    </w:p>
    <w:p>
      <w:pPr>
        <w:ind w:left="5000"/>
        <w:spacing w:after="0"/>
        <w:rPr>
          <w:sz w:val="20"/>
          <w:szCs w:val="20"/>
          <w:color w:val="auto"/>
        </w:rPr>
      </w:pPr>
      <w:r>
        <w:rPr>
          <w:rFonts w:ascii="Times New Roman" w:cs="Times New Roman" w:eastAsia="Times New Roman" w:hAnsi="Times New Roman"/>
          <w:sz w:val="25"/>
          <w:szCs w:val="25"/>
          <w:b w:val="1"/>
          <w:bCs w:val="1"/>
          <w:color w:val="auto"/>
        </w:rPr>
        <w:t>FORM 6-K</w:t>
      </w:r>
    </w:p>
    <w:p>
      <w:pPr>
        <w:spacing w:after="0" w:line="317" w:lineRule="exact"/>
        <w:rPr>
          <w:sz w:val="24"/>
          <w:szCs w:val="24"/>
          <w:color w:val="auto"/>
        </w:rPr>
      </w:pPr>
    </w:p>
    <w:p>
      <w:pPr>
        <w:jc w:val="center"/>
        <w:ind w:right="-1120"/>
        <w:spacing w:after="0"/>
        <w:rPr>
          <w:sz w:val="20"/>
          <w:szCs w:val="20"/>
          <w:color w:val="auto"/>
        </w:rPr>
      </w:pPr>
      <w:r>
        <w:rPr>
          <w:rFonts w:ascii="Times New Roman" w:cs="Times New Roman" w:eastAsia="Times New Roman" w:hAnsi="Times New Roman"/>
          <w:sz w:val="18"/>
          <w:szCs w:val="18"/>
          <w:color w:val="auto"/>
        </w:rPr>
        <w:t>REPORT OF FOREIGN PRIVATE ISSUER</w:t>
      </w:r>
    </w:p>
    <w:p>
      <w:pPr>
        <w:spacing w:after="0" w:line="27" w:lineRule="exact"/>
        <w:rPr>
          <w:sz w:val="24"/>
          <w:szCs w:val="24"/>
          <w:color w:val="auto"/>
        </w:rPr>
      </w:pPr>
    </w:p>
    <w:p>
      <w:pPr>
        <w:jc w:val="center"/>
        <w:ind w:right="-1120"/>
        <w:spacing w:after="0"/>
        <w:rPr>
          <w:sz w:val="20"/>
          <w:szCs w:val="20"/>
          <w:color w:val="auto"/>
        </w:rPr>
      </w:pPr>
      <w:r>
        <w:rPr>
          <w:rFonts w:ascii="Times New Roman" w:cs="Times New Roman" w:eastAsia="Times New Roman" w:hAnsi="Times New Roman"/>
          <w:sz w:val="18"/>
          <w:szCs w:val="18"/>
          <w:color w:val="auto"/>
        </w:rPr>
        <w:t>PURSUANT TO RULE 13a-16 OR 15d-16 UNDER THE</w:t>
      </w:r>
    </w:p>
    <w:p>
      <w:pPr>
        <w:spacing w:after="0" w:line="9" w:lineRule="exact"/>
        <w:rPr>
          <w:sz w:val="24"/>
          <w:szCs w:val="24"/>
          <w:color w:val="auto"/>
        </w:rPr>
      </w:pPr>
    </w:p>
    <w:p>
      <w:pPr>
        <w:jc w:val="center"/>
        <w:ind w:right="-1120"/>
        <w:spacing w:after="0"/>
        <w:rPr>
          <w:sz w:val="20"/>
          <w:szCs w:val="20"/>
          <w:color w:val="auto"/>
        </w:rPr>
      </w:pPr>
      <w:r>
        <w:rPr>
          <w:rFonts w:ascii="Times New Roman" w:cs="Times New Roman" w:eastAsia="Times New Roman" w:hAnsi="Times New Roman"/>
          <w:sz w:val="18"/>
          <w:szCs w:val="18"/>
          <w:color w:val="auto"/>
        </w:rPr>
        <w:t>SECURITIES EXCHANGE ACT OF 1934</w:t>
      </w:r>
    </w:p>
    <w:p>
      <w:pPr>
        <w:spacing w:after="0" w:line="207" w:lineRule="exact"/>
        <w:rPr>
          <w:sz w:val="24"/>
          <w:szCs w:val="24"/>
          <w:color w:val="auto"/>
        </w:rPr>
      </w:pPr>
    </w:p>
    <w:p>
      <w:pPr>
        <w:jc w:val="center"/>
        <w:ind w:right="-1120"/>
        <w:spacing w:after="0"/>
        <w:rPr>
          <w:sz w:val="20"/>
          <w:szCs w:val="20"/>
          <w:color w:val="auto"/>
        </w:rPr>
      </w:pPr>
      <w:r>
        <w:rPr>
          <w:rFonts w:ascii="Times New Roman" w:cs="Times New Roman" w:eastAsia="Times New Roman" w:hAnsi="Times New Roman"/>
          <w:sz w:val="18"/>
          <w:szCs w:val="18"/>
          <w:color w:val="auto"/>
        </w:rPr>
        <w:t>For the month of February, 2021</w:t>
      </w:r>
    </w:p>
    <w:p>
      <w:pPr>
        <w:spacing w:after="0" w:line="225" w:lineRule="exact"/>
        <w:rPr>
          <w:sz w:val="24"/>
          <w:szCs w:val="24"/>
          <w:color w:val="auto"/>
        </w:rPr>
      </w:pPr>
    </w:p>
    <w:p>
      <w:pPr>
        <w:ind w:left="4380"/>
        <w:spacing w:after="0"/>
        <w:rPr>
          <w:sz w:val="20"/>
          <w:szCs w:val="20"/>
          <w:color w:val="auto"/>
        </w:rPr>
      </w:pPr>
      <w:r>
        <w:rPr>
          <w:rFonts w:ascii="Times New Roman" w:cs="Times New Roman" w:eastAsia="Times New Roman" w:hAnsi="Times New Roman"/>
          <w:sz w:val="18"/>
          <w:szCs w:val="18"/>
          <w:color w:val="auto"/>
        </w:rPr>
        <w:t>Commission File Number 1-11414</w:t>
      </w:r>
    </w:p>
    <w:p>
      <w:pPr>
        <w:spacing w:after="0" w:line="200" w:lineRule="exact"/>
        <w:rPr>
          <w:sz w:val="24"/>
          <w:szCs w:val="24"/>
          <w:color w:val="auto"/>
        </w:rPr>
      </w:pPr>
    </w:p>
    <w:p>
      <w:pPr>
        <w:spacing w:after="0" w:line="230" w:lineRule="exact"/>
        <w:rPr>
          <w:sz w:val="24"/>
          <w:szCs w:val="24"/>
          <w:color w:val="auto"/>
        </w:rPr>
      </w:pPr>
    </w:p>
    <w:p>
      <w:pPr>
        <w:jc w:val="center"/>
        <w:ind w:right="-1120"/>
        <w:spacing w:after="0"/>
        <w:rPr>
          <w:sz w:val="20"/>
          <w:szCs w:val="20"/>
          <w:color w:val="auto"/>
        </w:rPr>
      </w:pPr>
      <w:r>
        <w:rPr>
          <w:rFonts w:ascii="Times New Roman" w:cs="Times New Roman" w:eastAsia="Times New Roman" w:hAnsi="Times New Roman"/>
          <w:sz w:val="25"/>
          <w:szCs w:val="25"/>
          <w:b w:val="1"/>
          <w:bCs w:val="1"/>
          <w:color w:val="auto"/>
        </w:rPr>
        <w:t>BANCO LATINOAMERICANO DE COMERCIO EXTERIOR, S.A.</w:t>
      </w:r>
    </w:p>
    <w:p>
      <w:pPr>
        <w:spacing w:after="0" w:line="40" w:lineRule="exact"/>
        <w:rPr>
          <w:sz w:val="24"/>
          <w:szCs w:val="24"/>
          <w:color w:val="auto"/>
        </w:rPr>
      </w:pPr>
    </w:p>
    <w:p>
      <w:pPr>
        <w:jc w:val="center"/>
        <w:ind w:right="-1120"/>
        <w:spacing w:after="0"/>
        <w:rPr>
          <w:sz w:val="20"/>
          <w:szCs w:val="20"/>
          <w:color w:val="auto"/>
        </w:rPr>
      </w:pPr>
      <w:r>
        <w:rPr>
          <w:rFonts w:ascii="Times New Roman" w:cs="Times New Roman" w:eastAsia="Times New Roman" w:hAnsi="Times New Roman"/>
          <w:sz w:val="18"/>
          <w:szCs w:val="18"/>
          <w:color w:val="auto"/>
        </w:rPr>
        <w:t>(Exact name of Registrant as specified in its Charter)</w:t>
      </w:r>
    </w:p>
    <w:p>
      <w:pPr>
        <w:spacing w:after="0" w:line="194" w:lineRule="exact"/>
        <w:rPr>
          <w:sz w:val="24"/>
          <w:szCs w:val="24"/>
          <w:color w:val="auto"/>
        </w:rPr>
      </w:pPr>
    </w:p>
    <w:p>
      <w:pPr>
        <w:jc w:val="center"/>
        <w:ind w:right="-1120"/>
        <w:spacing w:after="0"/>
        <w:rPr>
          <w:sz w:val="20"/>
          <w:szCs w:val="20"/>
          <w:color w:val="auto"/>
        </w:rPr>
      </w:pPr>
      <w:r>
        <w:rPr>
          <w:rFonts w:ascii="Times New Roman" w:cs="Times New Roman" w:eastAsia="Times New Roman" w:hAnsi="Times New Roman"/>
          <w:sz w:val="25"/>
          <w:szCs w:val="25"/>
          <w:b w:val="1"/>
          <w:bCs w:val="1"/>
          <w:color w:val="auto"/>
        </w:rPr>
        <w:t>FOREIGN TRADE BANK OF LATIN AMERICA, INC.</w:t>
      </w:r>
    </w:p>
    <w:p>
      <w:pPr>
        <w:spacing w:after="0" w:line="40" w:lineRule="exact"/>
        <w:rPr>
          <w:sz w:val="24"/>
          <w:szCs w:val="24"/>
          <w:color w:val="auto"/>
        </w:rPr>
      </w:pPr>
    </w:p>
    <w:p>
      <w:pPr>
        <w:jc w:val="center"/>
        <w:ind w:right="-1120"/>
        <w:spacing w:after="0"/>
        <w:rPr>
          <w:sz w:val="20"/>
          <w:szCs w:val="20"/>
          <w:color w:val="auto"/>
        </w:rPr>
      </w:pPr>
      <w:r>
        <w:rPr>
          <w:rFonts w:ascii="Times New Roman" w:cs="Times New Roman" w:eastAsia="Times New Roman" w:hAnsi="Times New Roman"/>
          <w:sz w:val="18"/>
          <w:szCs w:val="18"/>
          <w:color w:val="auto"/>
        </w:rPr>
        <w:t>(Translation of Registrant’s name into English)</w:t>
      </w:r>
    </w:p>
    <w:p>
      <w:pPr>
        <w:spacing w:after="0" w:line="205" w:lineRule="exact"/>
        <w:rPr>
          <w:sz w:val="24"/>
          <w:szCs w:val="24"/>
          <w:color w:val="auto"/>
        </w:rPr>
      </w:pPr>
    </w:p>
    <w:p>
      <w:pPr>
        <w:jc w:val="center"/>
        <w:ind w:right="-1120"/>
        <w:spacing w:after="0"/>
        <w:rPr>
          <w:sz w:val="20"/>
          <w:szCs w:val="20"/>
          <w:color w:val="auto"/>
        </w:rPr>
      </w:pPr>
      <w:r>
        <w:rPr>
          <w:rFonts w:ascii="Times New Roman" w:cs="Times New Roman" w:eastAsia="Times New Roman" w:hAnsi="Times New Roman"/>
          <w:sz w:val="18"/>
          <w:szCs w:val="18"/>
          <w:color w:val="auto"/>
        </w:rPr>
        <w:t>Business Park Torre V, Ave. La Rotonda, Costa del Este</w:t>
      </w:r>
    </w:p>
    <w:p>
      <w:pPr>
        <w:spacing w:after="0" w:line="27" w:lineRule="exact"/>
        <w:rPr>
          <w:sz w:val="24"/>
          <w:szCs w:val="24"/>
          <w:color w:val="auto"/>
        </w:rPr>
      </w:pPr>
    </w:p>
    <w:p>
      <w:pPr>
        <w:jc w:val="center"/>
        <w:ind w:right="-1120"/>
        <w:spacing w:after="0"/>
        <w:rPr>
          <w:sz w:val="20"/>
          <w:szCs w:val="20"/>
          <w:color w:val="auto"/>
        </w:rPr>
      </w:pPr>
      <w:r>
        <w:rPr>
          <w:rFonts w:ascii="Times New Roman" w:cs="Times New Roman" w:eastAsia="Times New Roman" w:hAnsi="Times New Roman"/>
          <w:sz w:val="18"/>
          <w:szCs w:val="18"/>
          <w:color w:val="auto"/>
        </w:rPr>
        <w:t>P.O. Box 0819-08730</w:t>
      </w:r>
    </w:p>
    <w:p>
      <w:pPr>
        <w:spacing w:after="0" w:line="9" w:lineRule="exact"/>
        <w:rPr>
          <w:sz w:val="24"/>
          <w:szCs w:val="24"/>
          <w:color w:val="auto"/>
        </w:rPr>
      </w:pPr>
    </w:p>
    <w:p>
      <w:pPr>
        <w:jc w:val="center"/>
        <w:ind w:right="-1120"/>
        <w:spacing w:after="0"/>
        <w:rPr>
          <w:sz w:val="20"/>
          <w:szCs w:val="20"/>
          <w:color w:val="auto"/>
        </w:rPr>
      </w:pPr>
      <w:r>
        <w:rPr>
          <w:rFonts w:ascii="Times New Roman" w:cs="Times New Roman" w:eastAsia="Times New Roman" w:hAnsi="Times New Roman"/>
          <w:sz w:val="18"/>
          <w:szCs w:val="18"/>
          <w:color w:val="auto"/>
        </w:rPr>
        <w:t>Panama City, Republic of Panama</w:t>
      </w:r>
    </w:p>
    <w:p>
      <w:pPr>
        <w:spacing w:after="0" w:line="9" w:lineRule="exact"/>
        <w:rPr>
          <w:sz w:val="24"/>
          <w:szCs w:val="24"/>
          <w:color w:val="auto"/>
        </w:rPr>
      </w:pPr>
    </w:p>
    <w:p>
      <w:pPr>
        <w:jc w:val="center"/>
        <w:ind w:right="-1120"/>
        <w:spacing w:after="0"/>
        <w:rPr>
          <w:sz w:val="20"/>
          <w:szCs w:val="20"/>
          <w:color w:val="auto"/>
        </w:rPr>
      </w:pPr>
      <w:r>
        <w:rPr>
          <w:rFonts w:ascii="Times New Roman" w:cs="Times New Roman" w:eastAsia="Times New Roman" w:hAnsi="Times New Roman"/>
          <w:sz w:val="18"/>
          <w:szCs w:val="18"/>
          <w:color w:val="auto"/>
        </w:rPr>
        <w:t>(Address of Registrant’s Principal Executive Offices)</w:t>
      </w:r>
    </w:p>
    <w:p>
      <w:pPr>
        <w:spacing w:after="0" w:line="200" w:lineRule="exact"/>
        <w:rPr>
          <w:sz w:val="24"/>
          <w:szCs w:val="24"/>
          <w:color w:val="auto"/>
        </w:rPr>
      </w:pPr>
    </w:p>
    <w:p>
      <w:pPr>
        <w:spacing w:after="0" w:line="200" w:lineRule="exact"/>
        <w:rPr>
          <w:sz w:val="24"/>
          <w:szCs w:val="24"/>
          <w:color w:val="auto"/>
        </w:rPr>
      </w:pPr>
    </w:p>
    <w:p>
      <w:pPr>
        <w:spacing w:after="0" w:line="239" w:lineRule="exact"/>
        <w:rPr>
          <w:sz w:val="24"/>
          <w:szCs w:val="24"/>
          <w:color w:val="auto"/>
        </w:rPr>
      </w:pPr>
    </w:p>
    <w:p>
      <w:pPr>
        <w:spacing w:after="0"/>
        <w:rPr>
          <w:sz w:val="20"/>
          <w:szCs w:val="20"/>
          <w:color w:val="auto"/>
        </w:rPr>
      </w:pPr>
      <w:r>
        <w:rPr>
          <w:rFonts w:ascii="Times New Roman" w:cs="Times New Roman" w:eastAsia="Times New Roman" w:hAnsi="Times New Roman"/>
          <w:sz w:val="18"/>
          <w:szCs w:val="18"/>
          <w:color w:val="auto"/>
        </w:rPr>
        <w:t>Indicate by check mark whether the registrant files or will file annual reports under cover of Form 20-F or Form 40-F.</w:t>
      </w:r>
    </w:p>
    <w:p>
      <w:pPr>
        <w:spacing w:after="0" w:line="196" w:lineRule="exact"/>
        <w:rPr>
          <w:sz w:val="24"/>
          <w:szCs w:val="24"/>
          <w:color w:val="auto"/>
        </w:rPr>
      </w:pPr>
    </w:p>
    <w:p>
      <w:pPr>
        <w:ind w:left="4460"/>
        <w:spacing w:after="0" w:line="207" w:lineRule="exact"/>
        <w:tabs>
          <w:tab w:leader="none" w:pos="5780" w:val="left"/>
        </w:tabs>
        <w:rPr>
          <w:sz w:val="20"/>
          <w:szCs w:val="20"/>
          <w:color w:val="auto"/>
        </w:rPr>
      </w:pPr>
      <w:r>
        <w:rPr>
          <w:rFonts w:ascii="Times New Roman" w:cs="Times New Roman" w:eastAsia="Times New Roman" w:hAnsi="Times New Roman"/>
          <w:sz w:val="18"/>
          <w:szCs w:val="18"/>
          <w:color w:val="auto"/>
        </w:rPr>
        <w:t xml:space="preserve">Form 20-F </w:t>
      </w:r>
      <w:r>
        <w:rPr>
          <w:rFonts w:ascii="MS PGothic" w:cs="MS PGothic" w:eastAsia="MS PGothic" w:hAnsi="MS PGothic"/>
          <w:sz w:val="18"/>
          <w:szCs w:val="18"/>
          <w:color w:val="auto"/>
        </w:rPr>
        <w:t>☒</w:t>
      </w:r>
      <w:r>
        <w:rPr>
          <w:sz w:val="20"/>
          <w:szCs w:val="20"/>
          <w:color w:val="auto"/>
        </w:rPr>
        <w:tab/>
      </w:r>
      <w:r>
        <w:rPr>
          <w:rFonts w:ascii="Times New Roman" w:cs="Times New Roman" w:eastAsia="Times New Roman" w:hAnsi="Times New Roman"/>
          <w:sz w:val="17"/>
          <w:szCs w:val="17"/>
          <w:color w:val="auto"/>
        </w:rPr>
        <w:t xml:space="preserve">Form 40-F </w:t>
      </w:r>
      <w:r>
        <w:rPr>
          <w:rFonts w:ascii="MS PGothic" w:cs="MS PGothic" w:eastAsia="MS PGothic" w:hAnsi="MS PGothic"/>
          <w:sz w:val="17"/>
          <w:szCs w:val="17"/>
          <w:color w:val="auto"/>
        </w:rPr>
        <w:t>☐</w:t>
      </w:r>
    </w:p>
    <w:p>
      <w:pPr>
        <w:spacing w:after="0" w:line="254" w:lineRule="exact"/>
        <w:rPr>
          <w:sz w:val="24"/>
          <w:szCs w:val="24"/>
          <w:color w:val="auto"/>
        </w:rPr>
      </w:pPr>
    </w:p>
    <w:p>
      <w:pPr>
        <w:spacing w:after="0"/>
        <w:rPr>
          <w:sz w:val="20"/>
          <w:szCs w:val="20"/>
          <w:color w:val="auto"/>
        </w:rPr>
      </w:pPr>
      <w:r>
        <w:rPr>
          <w:rFonts w:ascii="Times New Roman" w:cs="Times New Roman" w:eastAsia="Times New Roman" w:hAnsi="Times New Roman"/>
          <w:sz w:val="18"/>
          <w:szCs w:val="18"/>
          <w:color w:val="auto"/>
        </w:rPr>
        <w:t>Indicate by check mark if the registrant is submitting the Form 6-K in paper as permitted by Regulation S-T Rule 101(b)(1):</w:t>
      </w:r>
    </w:p>
    <w:p>
      <w:pPr>
        <w:spacing w:after="0" w:line="196" w:lineRule="exact"/>
        <w:rPr>
          <w:sz w:val="24"/>
          <w:szCs w:val="24"/>
          <w:color w:val="auto"/>
        </w:rPr>
      </w:pPr>
    </w:p>
    <w:p>
      <w:pPr>
        <w:ind w:left="5020"/>
        <w:spacing w:after="0" w:line="207" w:lineRule="exact"/>
        <w:tabs>
          <w:tab w:leader="none" w:pos="5780" w:val="left"/>
        </w:tabs>
        <w:rPr>
          <w:sz w:val="20"/>
          <w:szCs w:val="20"/>
          <w:color w:val="auto"/>
        </w:rPr>
      </w:pPr>
      <w:r>
        <w:rPr>
          <w:rFonts w:ascii="Times New Roman" w:cs="Times New Roman" w:eastAsia="Times New Roman" w:hAnsi="Times New Roman"/>
          <w:sz w:val="18"/>
          <w:szCs w:val="18"/>
          <w:color w:val="auto"/>
        </w:rPr>
        <w:t xml:space="preserve">Yes </w:t>
      </w:r>
      <w:r>
        <w:rPr>
          <w:rFonts w:ascii="MS PGothic" w:cs="MS PGothic" w:eastAsia="MS PGothic" w:hAnsi="MS PGothic"/>
          <w:sz w:val="18"/>
          <w:szCs w:val="18"/>
          <w:color w:val="auto"/>
        </w:rPr>
        <w:t>☐</w:t>
      </w:r>
      <w:r>
        <w:rPr>
          <w:sz w:val="20"/>
          <w:szCs w:val="20"/>
          <w:color w:val="auto"/>
        </w:rPr>
        <w:tab/>
      </w:r>
      <w:r>
        <w:rPr>
          <w:rFonts w:ascii="Times New Roman" w:cs="Times New Roman" w:eastAsia="Times New Roman" w:hAnsi="Times New Roman"/>
          <w:sz w:val="16"/>
          <w:szCs w:val="16"/>
          <w:color w:val="auto"/>
        </w:rPr>
        <w:t xml:space="preserve">No </w:t>
      </w:r>
      <w:r>
        <w:rPr>
          <w:rFonts w:ascii="MS PGothic" w:cs="MS PGothic" w:eastAsia="MS PGothic" w:hAnsi="MS PGothic"/>
          <w:sz w:val="16"/>
          <w:szCs w:val="16"/>
          <w:color w:val="auto"/>
        </w:rPr>
        <w:t>☒</w:t>
      </w:r>
    </w:p>
    <w:p>
      <w:pPr>
        <w:spacing w:after="0" w:line="254" w:lineRule="exact"/>
        <w:rPr>
          <w:sz w:val="24"/>
          <w:szCs w:val="24"/>
          <w:color w:val="auto"/>
        </w:rPr>
      </w:pPr>
    </w:p>
    <w:p>
      <w:pPr>
        <w:spacing w:after="0"/>
        <w:rPr>
          <w:sz w:val="20"/>
          <w:szCs w:val="20"/>
          <w:color w:val="auto"/>
        </w:rPr>
      </w:pPr>
      <w:r>
        <w:rPr>
          <w:rFonts w:ascii="Times New Roman" w:cs="Times New Roman" w:eastAsia="Times New Roman" w:hAnsi="Times New Roman"/>
          <w:sz w:val="18"/>
          <w:szCs w:val="18"/>
          <w:color w:val="auto"/>
        </w:rPr>
        <w:t>Indicate by check mark if the registrant is submitting the Form 6-K in paper as permitted by Regulation S-T Rule 101(b)(7):</w:t>
      </w:r>
    </w:p>
    <w:p>
      <w:pPr>
        <w:spacing w:after="0" w:line="196" w:lineRule="exact"/>
        <w:rPr>
          <w:sz w:val="24"/>
          <w:szCs w:val="24"/>
          <w:color w:val="auto"/>
        </w:rPr>
      </w:pPr>
    </w:p>
    <w:p>
      <w:pPr>
        <w:ind w:left="5020"/>
        <w:spacing w:after="0" w:line="207" w:lineRule="exact"/>
        <w:tabs>
          <w:tab w:leader="none" w:pos="5780" w:val="left"/>
        </w:tabs>
        <w:rPr>
          <w:sz w:val="20"/>
          <w:szCs w:val="20"/>
          <w:color w:val="auto"/>
        </w:rPr>
      </w:pPr>
      <w:r>
        <w:rPr>
          <w:rFonts w:ascii="Times New Roman" w:cs="Times New Roman" w:eastAsia="Times New Roman" w:hAnsi="Times New Roman"/>
          <w:sz w:val="18"/>
          <w:szCs w:val="18"/>
          <w:color w:val="auto"/>
        </w:rPr>
        <w:t xml:space="preserve">Yes </w:t>
      </w:r>
      <w:r>
        <w:rPr>
          <w:rFonts w:ascii="MS PGothic" w:cs="MS PGothic" w:eastAsia="MS PGothic" w:hAnsi="MS PGothic"/>
          <w:sz w:val="18"/>
          <w:szCs w:val="18"/>
          <w:color w:val="auto"/>
        </w:rPr>
        <w:t>☐</w:t>
      </w:r>
      <w:r>
        <w:rPr>
          <w:sz w:val="20"/>
          <w:szCs w:val="20"/>
          <w:color w:val="auto"/>
        </w:rPr>
        <w:tab/>
      </w:r>
      <w:r>
        <w:rPr>
          <w:rFonts w:ascii="Times New Roman" w:cs="Times New Roman" w:eastAsia="Times New Roman" w:hAnsi="Times New Roman"/>
          <w:sz w:val="16"/>
          <w:szCs w:val="16"/>
          <w:color w:val="auto"/>
        </w:rPr>
        <w:t xml:space="preserve">No </w:t>
      </w:r>
      <w:r>
        <w:rPr>
          <w:rFonts w:ascii="MS PGothic" w:cs="MS PGothic" w:eastAsia="MS PGothic" w:hAnsi="MS PGothic"/>
          <w:sz w:val="16"/>
          <w:szCs w:val="16"/>
          <w:color w:val="auto"/>
        </w:rPr>
        <w: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344170</wp:posOffset>
            </wp:positionV>
            <wp:extent cx="7132320" cy="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7132320" cy="8255"/>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361315</wp:posOffset>
            </wp:positionV>
            <wp:extent cx="7132320" cy="2540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7132320" cy="25400"/>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953135</wp:posOffset>
            </wp:positionV>
            <wp:extent cx="7132320" cy="825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0139"/>
          </w:cols>
          <w:pgMar w:left="320" w:top="745" w:right="1440" w:bottom="1440" w:gutter="0" w:footer="0" w:header="0"/>
        </w:sectPr>
      </w:pPr>
    </w:p>
    <w:bookmarkStart w:id="1" w:name="page2"/>
    <w:bookmarkEnd w:id="1"/>
    <w:p>
      <w:pPr>
        <w:jc w:val="center"/>
        <w:spacing w:after="0"/>
        <w:rPr>
          <w:sz w:val="20"/>
          <w:szCs w:val="20"/>
          <w:color w:val="auto"/>
        </w:rPr>
      </w:pPr>
      <w:r>
        <w:rPr>
          <w:rFonts w:ascii="Times New Roman" w:cs="Times New Roman" w:eastAsia="Times New Roman" w:hAnsi="Times New Roman"/>
          <w:sz w:val="18"/>
          <w:szCs w:val="18"/>
          <w:b w:val="1"/>
          <w:bCs w:val="1"/>
          <w:color w:val="auto"/>
        </w:rPr>
        <w:t>SIGNATURES</w:t>
      </w:r>
    </w:p>
    <w:p>
      <w:pPr>
        <w:spacing w:after="0" w:line="229" w:lineRule="exact"/>
        <w:rPr>
          <w:sz w:val="20"/>
          <w:szCs w:val="20"/>
          <w:color w:val="auto"/>
        </w:rPr>
      </w:pPr>
    </w:p>
    <w:p>
      <w:pPr>
        <w:ind w:firstLine="648"/>
        <w:spacing w:after="0" w:line="282" w:lineRule="auto"/>
        <w:rPr>
          <w:sz w:val="20"/>
          <w:szCs w:val="20"/>
          <w:color w:val="auto"/>
        </w:rPr>
      </w:pPr>
      <w:r>
        <w:rPr>
          <w:rFonts w:ascii="Times New Roman" w:cs="Times New Roman" w:eastAsia="Times New Roman" w:hAnsi="Times New Roman"/>
          <w:sz w:val="18"/>
          <w:szCs w:val="18"/>
          <w:color w:val="auto"/>
        </w:rPr>
        <w:t>Pursuant to the requirements of the Securities Exchange Act of 1934, the registrant has duly caused this report to be signed on its behalf by the undersigned, thereunto duly authorized.</w:t>
      </w:r>
    </w:p>
    <w:p>
      <w:pPr>
        <w:spacing w:after="0" w:line="378"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Date: February 12, 2021</w:t>
      </w:r>
    </w:p>
    <w:p>
      <w:pPr>
        <w:spacing w:after="0" w:line="225" w:lineRule="exact"/>
        <w:rPr>
          <w:sz w:val="20"/>
          <w:szCs w:val="20"/>
          <w:color w:val="auto"/>
        </w:rPr>
      </w:pPr>
    </w:p>
    <w:p>
      <w:pPr>
        <w:ind w:left="5640"/>
        <w:spacing w:after="0"/>
        <w:rPr>
          <w:sz w:val="20"/>
          <w:szCs w:val="20"/>
          <w:color w:val="auto"/>
        </w:rPr>
      </w:pPr>
      <w:r>
        <w:rPr>
          <w:rFonts w:ascii="Times New Roman" w:cs="Times New Roman" w:eastAsia="Times New Roman" w:hAnsi="Times New Roman"/>
          <w:sz w:val="18"/>
          <w:szCs w:val="18"/>
          <w:color w:val="auto"/>
        </w:rPr>
        <w:t>FOREIGN TRADE BANK OF LATIN AMERICA, INC.</w:t>
      </w:r>
    </w:p>
    <w:p>
      <w:pPr>
        <w:spacing w:after="0" w:line="27" w:lineRule="exact"/>
        <w:rPr>
          <w:sz w:val="20"/>
          <w:szCs w:val="20"/>
          <w:color w:val="auto"/>
        </w:rPr>
      </w:pPr>
    </w:p>
    <w:p>
      <w:pPr>
        <w:ind w:left="5640"/>
        <w:spacing w:after="0"/>
        <w:rPr>
          <w:sz w:val="20"/>
          <w:szCs w:val="20"/>
          <w:color w:val="auto"/>
        </w:rPr>
      </w:pPr>
      <w:r>
        <w:rPr>
          <w:rFonts w:ascii="Times New Roman" w:cs="Times New Roman" w:eastAsia="Times New Roman" w:hAnsi="Times New Roman"/>
          <w:sz w:val="18"/>
          <w:szCs w:val="18"/>
          <w:i w:val="1"/>
          <w:iCs w:val="1"/>
          <w:color w:val="auto"/>
        </w:rPr>
        <w:t>(Registrant)</w:t>
      </w:r>
    </w:p>
    <w:p>
      <w:pPr>
        <w:spacing w:after="0" w:line="200" w:lineRule="exact"/>
        <w:rPr>
          <w:sz w:val="20"/>
          <w:szCs w:val="20"/>
          <w:color w:val="auto"/>
        </w:rPr>
      </w:pPr>
    </w:p>
    <w:p>
      <w:pPr>
        <w:spacing w:after="0" w:line="223" w:lineRule="exact"/>
        <w:rPr>
          <w:sz w:val="20"/>
          <w:szCs w:val="20"/>
          <w:color w:val="auto"/>
        </w:rPr>
      </w:pPr>
    </w:p>
    <w:p>
      <w:pPr>
        <w:ind w:left="5640"/>
        <w:spacing w:after="0"/>
        <w:rPr>
          <w:sz w:val="20"/>
          <w:szCs w:val="20"/>
          <w:color w:val="auto"/>
        </w:rPr>
      </w:pPr>
      <w:r>
        <w:rPr>
          <w:rFonts w:ascii="Times New Roman" w:cs="Times New Roman" w:eastAsia="Times New Roman" w:hAnsi="Times New Roman"/>
          <w:sz w:val="18"/>
          <w:szCs w:val="18"/>
          <w:color w:val="auto"/>
        </w:rPr>
        <w:t>By:  /s/ Ana Graciela de Méndez</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3785235</wp:posOffset>
            </wp:positionH>
            <wp:positionV relativeFrom="paragraph">
              <wp:posOffset>-7620</wp:posOffset>
            </wp:positionV>
            <wp:extent cx="1303655" cy="825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1303655" cy="8255"/>
                    </a:xfrm>
                    <a:prstGeom prst="rect">
                      <a:avLst/>
                    </a:prstGeom>
                    <a:noFill/>
                  </pic:spPr>
                </pic:pic>
              </a:graphicData>
            </a:graphic>
          </wp:anchor>
        </w:drawing>
      </w:r>
    </w:p>
    <w:p>
      <w:pPr>
        <w:spacing w:after="0" w:line="205" w:lineRule="exact"/>
        <w:rPr>
          <w:sz w:val="20"/>
          <w:szCs w:val="20"/>
          <w:color w:val="auto"/>
        </w:rPr>
      </w:pPr>
    </w:p>
    <w:p>
      <w:pPr>
        <w:ind w:left="5960"/>
        <w:spacing w:after="0"/>
        <w:rPr>
          <w:sz w:val="20"/>
          <w:szCs w:val="20"/>
          <w:color w:val="auto"/>
        </w:rPr>
      </w:pPr>
      <w:r>
        <w:rPr>
          <w:rFonts w:ascii="Times New Roman" w:cs="Times New Roman" w:eastAsia="Times New Roman" w:hAnsi="Times New Roman"/>
          <w:sz w:val="18"/>
          <w:szCs w:val="18"/>
          <w:color w:val="auto"/>
        </w:rPr>
        <w:t>Name: Ana Graciela de Méndez</w:t>
      </w:r>
    </w:p>
    <w:p>
      <w:pPr>
        <w:spacing w:after="0" w:line="27" w:lineRule="exact"/>
        <w:rPr>
          <w:sz w:val="20"/>
          <w:szCs w:val="20"/>
          <w:color w:val="auto"/>
        </w:rPr>
      </w:pPr>
    </w:p>
    <w:p>
      <w:pPr>
        <w:ind w:left="5960"/>
        <w:spacing w:after="0"/>
        <w:tabs>
          <w:tab w:leader="none" w:pos="6460" w:val="left"/>
        </w:tabs>
        <w:rPr>
          <w:sz w:val="20"/>
          <w:szCs w:val="20"/>
          <w:color w:val="auto"/>
        </w:rPr>
      </w:pPr>
      <w:r>
        <w:rPr>
          <w:rFonts w:ascii="Times New Roman" w:cs="Times New Roman" w:eastAsia="Times New Roman" w:hAnsi="Times New Roman"/>
          <w:sz w:val="18"/>
          <w:szCs w:val="18"/>
          <w:color w:val="auto"/>
        </w:rPr>
        <w:t>Title:</w:t>
      </w:r>
      <w:r>
        <w:rPr>
          <w:sz w:val="20"/>
          <w:szCs w:val="20"/>
          <w:color w:val="auto"/>
        </w:rPr>
        <w:tab/>
      </w:r>
      <w:r>
        <w:rPr>
          <w:rFonts w:ascii="Times New Roman" w:cs="Times New Roman" w:eastAsia="Times New Roman" w:hAnsi="Times New Roman"/>
          <w:sz w:val="17"/>
          <w:szCs w:val="17"/>
          <w:color w:val="auto"/>
        </w:rPr>
        <w:t>CFO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434340</wp:posOffset>
            </wp:positionV>
            <wp:extent cx="7132320" cy="825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1116" w:right="339" w:bottom="1440" w:gutter="0" w:footer="0" w:header="0"/>
        </w:sectPr>
      </w:pPr>
    </w:p>
    <w:bookmarkStart w:id="2" w:name="page3"/>
    <w:bookmarkEnd w:id="2"/>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2917190</wp:posOffset>
            </wp:positionH>
            <wp:positionV relativeFrom="page">
              <wp:posOffset>448945</wp:posOffset>
            </wp:positionV>
            <wp:extent cx="1714500" cy="70294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clrChange>
                        <a:clrFrom>
                          <a:srgbClr val="FFFFFF"/>
                        </a:clrFrom>
                        <a:clrTo>
                          <a:srgbClr val="FFFFFF">
                            <a:alpha val="0"/>
                          </a:srgbClr>
                        </a:clrTo>
                      </a:clrChange>
                      <a:extLst>
                        <a:ext uri="{28A0092B-C50C-407E-A947-70E740481C1C}"/>
                      </a:extLst>
                    </a:blip>
                    <a:srcRect/>
                    <a:stretch>
                      <a:fillRect/>
                    </a:stretch>
                  </pic:blipFill>
                  <pic:spPr bwMode="auto">
                    <a:xfrm>
                      <a:off x="0" y="0"/>
                      <a:ext cx="1714500" cy="702945"/>
                    </a:xfrm>
                    <a:prstGeom prst="rect">
                      <a:avLst/>
                    </a:prstGeom>
                    <a:noFill/>
                  </pic:spPr>
                </pic:pic>
              </a:graphicData>
            </a:graphic>
          </wp:anchor>
        </w:drawing>
      </w:r>
    </w:p>
    <w:p>
      <w:pPr>
        <w:spacing w:after="0" w:line="200" w:lineRule="exact"/>
        <w:rPr>
          <w:sz w:val="20"/>
          <w:szCs w:val="20"/>
          <w:color w:val="auto"/>
        </w:rPr>
      </w:pPr>
    </w:p>
    <w:p>
      <w:pPr>
        <w:spacing w:after="0" w:line="384"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BLADEX ANNOUNCES QUARTERLY DIVIDEND PAYMENT</w:t>
      </w:r>
    </w:p>
    <w:p>
      <w:pPr>
        <w:spacing w:after="0" w:line="31" w:lineRule="exact"/>
        <w:rPr>
          <w:sz w:val="20"/>
          <w:szCs w:val="20"/>
          <w:color w:val="auto"/>
        </w:rPr>
      </w:pPr>
    </w:p>
    <w:p>
      <w:pPr>
        <w:jc w:val="center"/>
        <w:ind w:right="40"/>
        <w:spacing w:after="0"/>
        <w:rPr>
          <w:sz w:val="20"/>
          <w:szCs w:val="20"/>
          <w:color w:val="auto"/>
        </w:rPr>
      </w:pPr>
      <w:r>
        <w:rPr>
          <w:rFonts w:ascii="Times New Roman" w:cs="Times New Roman" w:eastAsia="Times New Roman" w:hAnsi="Times New Roman"/>
          <w:sz w:val="18"/>
          <w:szCs w:val="18"/>
          <w:b w:val="1"/>
          <w:bCs w:val="1"/>
          <w:color w:val="auto"/>
        </w:rPr>
        <w:t>FOR FOURTH QUARTER 2020</w:t>
      </w:r>
    </w:p>
    <w:p>
      <w:pPr>
        <w:spacing w:after="0" w:line="203" w:lineRule="exact"/>
        <w:rPr>
          <w:sz w:val="20"/>
          <w:szCs w:val="20"/>
          <w:color w:val="auto"/>
        </w:rPr>
      </w:pPr>
    </w:p>
    <w:p>
      <w:pPr>
        <w:jc w:val="both"/>
        <w:spacing w:after="0" w:line="286" w:lineRule="auto"/>
        <w:rPr>
          <w:sz w:val="20"/>
          <w:szCs w:val="20"/>
          <w:color w:val="auto"/>
        </w:rPr>
      </w:pPr>
      <w:r>
        <w:rPr>
          <w:rFonts w:ascii="Times New Roman" w:cs="Times New Roman" w:eastAsia="Times New Roman" w:hAnsi="Times New Roman"/>
          <w:sz w:val="18"/>
          <w:szCs w:val="18"/>
          <w:b w:val="1"/>
          <w:bCs w:val="1"/>
          <w:color w:val="auto"/>
        </w:rPr>
        <w:t xml:space="preserve">Panama City, Republic of Panama, February 12, 2021 </w:t>
      </w:r>
      <w:r>
        <w:rPr>
          <w:rFonts w:ascii="Times New Roman" w:cs="Times New Roman" w:eastAsia="Times New Roman" w:hAnsi="Times New Roman"/>
          <w:sz w:val="18"/>
          <w:szCs w:val="18"/>
          <w:color w:val="auto"/>
        </w:rPr>
        <w:t>- Banco Latinoamericano de Comercio Exterior, S.A. (“Bladex” or the “Bank”), announced today</w:t>
      </w:r>
      <w:r>
        <w:rPr>
          <w:rFonts w:ascii="Times New Roman" w:cs="Times New Roman" w:eastAsia="Times New Roman" w:hAnsi="Times New Roman"/>
          <w:sz w:val="18"/>
          <w:szCs w:val="18"/>
          <w:b w:val="1"/>
          <w:bCs w:val="1"/>
          <w:color w:val="auto"/>
        </w:rPr>
        <w:t xml:space="preserve"> </w:t>
      </w:r>
      <w:r>
        <w:rPr>
          <w:rFonts w:ascii="Times New Roman" w:cs="Times New Roman" w:eastAsia="Times New Roman" w:hAnsi="Times New Roman"/>
          <w:sz w:val="18"/>
          <w:szCs w:val="18"/>
          <w:color w:val="auto"/>
        </w:rPr>
        <w:t>its Board of Directors’ approval of a quarterly cash dividend of US$0.25 per share corresponding to the fourth quarter of 2020.</w:t>
      </w:r>
    </w:p>
    <w:p>
      <w:pPr>
        <w:spacing w:after="0" w:line="15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The cash dividend is payable March 10, 2021 to the Bank’s stockholders as of February 23, 2021 record date.</w:t>
      </w:r>
    </w:p>
    <w:p>
      <w:pPr>
        <w:spacing w:after="0" w:line="225"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As of December 31, 2020, Bladex had 39,677,940.23 shares outstanding of all classes.</w:t>
      </w:r>
    </w:p>
    <w:p>
      <w:pPr>
        <w:spacing w:after="0" w:line="225"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Bladex, a multinational bank originally established by the central banks of Latin-American and Caribbean countries, began operations in 1979 to promote foreign trade and economic integration in the Region. The Bank, headquartered in Panama, also has offices in Argentina, Brazil, Colombia, Mexico, the United States of America, and a Representative License in Peru, supporting the regional expansion and servicing of its customer base, which includes financial institutions and corporations.</w:t>
      </w:r>
    </w:p>
    <w:p>
      <w:pPr>
        <w:spacing w:after="0" w:line="180"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Bladex is listed on the NYSE in the United States of America (NYSE: BLX), since 1992, and its shareholders include: central banks and state-owned banks and entities representing 23 Latin American countries, commercial banks and financial institutions, and institutional and retail investors through its public listing.</w:t>
      </w:r>
    </w:p>
    <w:p>
      <w:pPr>
        <w:spacing w:after="0" w:line="176"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 xml:space="preserve">For further information on Bladex, please access its website at </w:t>
      </w:r>
      <w:r>
        <w:rPr>
          <w:rFonts w:ascii="Times New Roman" w:cs="Times New Roman" w:eastAsia="Times New Roman" w:hAnsi="Times New Roman"/>
          <w:sz w:val="18"/>
          <w:szCs w:val="18"/>
          <w:u w:val="single" w:color="auto"/>
          <w:color w:val="0000FF"/>
        </w:rPr>
        <w:t>www.bladex.com</w:t>
      </w:r>
      <w:r>
        <w:rPr>
          <w:rFonts w:ascii="Times New Roman" w:cs="Times New Roman" w:eastAsia="Times New Roman" w:hAnsi="Times New Roman"/>
          <w:sz w:val="18"/>
          <w:szCs w:val="18"/>
          <w:color w:val="auto"/>
        </w:rPr>
        <w:t xml:space="preserve"> or contact:</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152400</wp:posOffset>
            </wp:positionV>
            <wp:extent cx="7136130" cy="58674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7136130" cy="586740"/>
                    </a:xfrm>
                    <a:prstGeom prst="rect">
                      <a:avLst/>
                    </a:prstGeom>
                    <a:noFill/>
                  </pic:spPr>
                </pic:pic>
              </a:graphicData>
            </a:graphic>
          </wp:anchor>
        </w:drawing>
      </w:r>
    </w:p>
    <w:p>
      <w:pPr>
        <w:spacing w:after="0" w:line="246" w:lineRule="exact"/>
        <w:rPr>
          <w:sz w:val="20"/>
          <w:szCs w:val="20"/>
          <w:color w:val="auto"/>
        </w:rPr>
      </w:pPr>
    </w:p>
    <w:p>
      <w:pPr>
        <w:ind w:left="100"/>
        <w:spacing w:after="0"/>
        <w:rPr>
          <w:sz w:val="20"/>
          <w:szCs w:val="20"/>
          <w:color w:val="auto"/>
        </w:rPr>
      </w:pPr>
      <w:r>
        <w:rPr>
          <w:rFonts w:ascii="Times New Roman" w:cs="Times New Roman" w:eastAsia="Times New Roman" w:hAnsi="Times New Roman"/>
          <w:sz w:val="18"/>
          <w:szCs w:val="18"/>
          <w:color w:val="auto"/>
        </w:rPr>
        <w:t>Monica Cosulich - SVP, Finance and Investor Relations</w:t>
      </w:r>
    </w:p>
    <w:p>
      <w:pPr>
        <w:spacing w:after="0" w:line="27" w:lineRule="exact"/>
        <w:rPr>
          <w:sz w:val="20"/>
          <w:szCs w:val="20"/>
          <w:color w:val="auto"/>
        </w:rPr>
      </w:pPr>
    </w:p>
    <w:p>
      <w:pPr>
        <w:ind w:left="100"/>
        <w:spacing w:after="0"/>
        <w:rPr>
          <w:sz w:val="20"/>
          <w:szCs w:val="20"/>
          <w:color w:val="auto"/>
        </w:rPr>
      </w:pPr>
      <w:r>
        <w:rPr>
          <w:rFonts w:ascii="Times New Roman" w:cs="Times New Roman" w:eastAsia="Times New Roman" w:hAnsi="Times New Roman"/>
          <w:sz w:val="18"/>
          <w:szCs w:val="18"/>
          <w:color w:val="auto"/>
        </w:rPr>
        <w:t xml:space="preserve">E-mail address: </w:t>
      </w:r>
      <w:r>
        <w:rPr>
          <w:rFonts w:ascii="Times New Roman" w:cs="Times New Roman" w:eastAsia="Times New Roman" w:hAnsi="Times New Roman"/>
          <w:sz w:val="18"/>
          <w:szCs w:val="18"/>
          <w:u w:val="single" w:color="auto"/>
          <w:color w:val="0000FF"/>
        </w:rPr>
        <w:t>ir@bladex.com</w:t>
      </w:r>
      <w:r>
        <w:rPr>
          <w:rFonts w:ascii="Times New Roman" w:cs="Times New Roman" w:eastAsia="Times New Roman" w:hAnsi="Times New Roman"/>
          <w:sz w:val="18"/>
          <w:szCs w:val="18"/>
          <w:color w:val="auto"/>
        </w:rPr>
        <w:t>. Tel.: (+507) 210-8563</w:t>
      </w:r>
    </w:p>
    <w:p>
      <w:pPr>
        <w:spacing w:after="0" w:line="9" w:lineRule="exact"/>
        <w:rPr>
          <w:sz w:val="20"/>
          <w:szCs w:val="20"/>
          <w:color w:val="auto"/>
        </w:rPr>
      </w:pPr>
    </w:p>
    <w:p>
      <w:pPr>
        <w:ind w:left="100"/>
        <w:spacing w:after="0"/>
        <w:rPr>
          <w:sz w:val="20"/>
          <w:szCs w:val="20"/>
          <w:color w:val="auto"/>
        </w:rPr>
      </w:pPr>
      <w:r>
        <w:rPr>
          <w:rFonts w:ascii="Times New Roman" w:cs="Times New Roman" w:eastAsia="Times New Roman" w:hAnsi="Times New Roman"/>
          <w:sz w:val="18"/>
          <w:szCs w:val="18"/>
          <w:color w:val="auto"/>
        </w:rPr>
        <w:t>Head Office Address: Torre V, Business Park, Ave. La Rotonda, Urb. Costa del Este,</w:t>
      </w:r>
    </w:p>
    <w:p>
      <w:pPr>
        <w:spacing w:after="0" w:line="9" w:lineRule="exact"/>
        <w:rPr>
          <w:sz w:val="20"/>
          <w:szCs w:val="20"/>
          <w:color w:val="auto"/>
        </w:rPr>
      </w:pPr>
    </w:p>
    <w:p>
      <w:pPr>
        <w:ind w:left="100"/>
        <w:spacing w:after="0"/>
        <w:rPr>
          <w:sz w:val="20"/>
          <w:szCs w:val="20"/>
          <w:color w:val="auto"/>
        </w:rPr>
      </w:pPr>
      <w:r>
        <w:rPr>
          <w:rFonts w:ascii="Times New Roman" w:cs="Times New Roman" w:eastAsia="Times New Roman" w:hAnsi="Times New Roman"/>
          <w:sz w:val="18"/>
          <w:szCs w:val="18"/>
          <w:color w:val="auto"/>
        </w:rPr>
        <w:t>Panama, Republic of Panama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717550</wp:posOffset>
            </wp:positionV>
            <wp:extent cx="7132320" cy="825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sectPr>
      <w:pgSz w:w="11900" w:h="16838" w:orient="portrait"/>
      <w:cols w:equalWidth="0" w:num="1">
        <w:col w:w="11240"/>
      </w:cols>
      <w:pgMar w:left="320" w:top="1440" w:right="339"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jpeg"/><Relationship Id="rId16" Type="http://schemas.openxmlformats.org/officeDocument/2006/relationships/image" Target="media/image9.png"/><Relationship Id="rId17" Type="http://schemas.openxmlformats.org/officeDocument/2006/relationships/image" Target="media/image10.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2021-02-12T09:35:12Z</dcterms:created>
  <dcterms:modified xsi:type="dcterms:W3CDTF">2021-02-12T09:35:12Z</dcterms:modified>
</cp:coreProperties>
</file>